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1B1A" w14:textId="77777777" w:rsidR="00C2765A" w:rsidRDefault="00C2765A" w:rsidP="00C2765A">
      <w:pPr>
        <w:pBdr>
          <w:bottom w:val="single" w:sz="6" w:space="1" w:color="auto"/>
        </w:pBd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A5623C">
        <w:rPr>
          <w:rFonts w:ascii="Times New Roman" w:hAnsi="Times New Roman"/>
          <w:b/>
          <w:sz w:val="24"/>
          <w:szCs w:val="24"/>
        </w:rPr>
        <w:t>A szlovén Rába-vidék térségfejlesztési program megvalósításának támogatásáról szóló 1618/2019. (X. 28.) Korm. határozat kapcsán nyújtandó célzott pénzügyi támogatás keretében megvalósuló fejlesztésekhez kapcsolódó nyilatkozatok</w:t>
      </w:r>
    </w:p>
    <w:p w14:paraId="41C8715D" w14:textId="77777777" w:rsidR="00C2765A" w:rsidRPr="00E7454B" w:rsidRDefault="00C2765A" w:rsidP="00C2765A">
      <w:pPr>
        <w:spacing w:after="0" w:line="240" w:lineRule="auto"/>
        <w:rPr>
          <w:rFonts w:ascii="Times New Roman" w:hAnsi="Times New Roman"/>
          <w:b/>
          <w:bCs/>
          <w:iCs/>
          <w:sz w:val="21"/>
          <w:szCs w:val="21"/>
          <w:u w:val="single"/>
        </w:rPr>
      </w:pPr>
      <w:r w:rsidRPr="00E7454B">
        <w:rPr>
          <w:rFonts w:ascii="Times New Roman" w:hAnsi="Times New Roman"/>
          <w:b/>
          <w:bCs/>
          <w:iCs/>
          <w:sz w:val="21"/>
          <w:szCs w:val="21"/>
          <w:u w:val="single"/>
        </w:rPr>
        <w:t>1. számú melléklet</w:t>
      </w:r>
    </w:p>
    <w:p w14:paraId="41B1CA1D" w14:textId="77777777" w:rsidR="00C2765A" w:rsidRPr="00E7454B" w:rsidRDefault="00C2765A" w:rsidP="00C2765A">
      <w:pPr>
        <w:spacing w:after="0" w:line="240" w:lineRule="auto"/>
        <w:rPr>
          <w:rFonts w:ascii="Times New Roman" w:hAnsi="Times New Roman"/>
          <w:bCs/>
          <w:iCs/>
          <w:sz w:val="21"/>
          <w:szCs w:val="21"/>
          <w:u w:val="single"/>
        </w:rPr>
      </w:pPr>
    </w:p>
    <w:p w14:paraId="5CA37F65" w14:textId="77777777" w:rsidR="00C2765A" w:rsidRPr="00E7454B" w:rsidRDefault="00C2765A" w:rsidP="00C2765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aps/>
          <w:sz w:val="21"/>
          <w:szCs w:val="21"/>
        </w:rPr>
      </w:pPr>
      <w:r w:rsidRPr="00E7454B">
        <w:rPr>
          <w:rFonts w:ascii="Times New Roman" w:hAnsi="Times New Roman"/>
          <w:b/>
          <w:bCs/>
          <w:i/>
          <w:iCs/>
          <w:caps/>
          <w:sz w:val="21"/>
          <w:szCs w:val="21"/>
        </w:rPr>
        <w:t>NyilatkozaT</w:t>
      </w:r>
    </w:p>
    <w:p w14:paraId="075B1CC3" w14:textId="77777777" w:rsidR="00C2765A" w:rsidRDefault="00C2765A" w:rsidP="00C2765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E7454B">
        <w:rPr>
          <w:rFonts w:ascii="Times New Roman" w:hAnsi="Times New Roman"/>
          <w:b/>
          <w:bCs/>
          <w:i/>
          <w:iCs/>
          <w:sz w:val="21"/>
          <w:szCs w:val="21"/>
        </w:rPr>
        <w:t>a rendezett munkaügyi kapcsolatokról</w:t>
      </w:r>
    </w:p>
    <w:p w14:paraId="4D6B1ADD" w14:textId="77777777" w:rsidR="00C2765A" w:rsidRPr="00D72A1B" w:rsidRDefault="00C2765A" w:rsidP="00C2765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1"/>
          <w:szCs w:val="21"/>
        </w:rPr>
      </w:pPr>
      <w:r w:rsidRPr="00E34A3C">
        <w:rPr>
          <w:rFonts w:ascii="Times New Roman" w:hAnsi="Times New Roman"/>
          <w:b/>
          <w:bCs/>
          <w:i/>
          <w:iCs/>
          <w:sz w:val="21"/>
          <w:szCs w:val="21"/>
        </w:rPr>
        <w:t xml:space="preserve">az államháztartásról szóló </w:t>
      </w:r>
      <w:r w:rsidRPr="00D72A1B">
        <w:rPr>
          <w:rFonts w:ascii="Times New Roman" w:hAnsi="Times New Roman"/>
          <w:b/>
          <w:i/>
          <w:sz w:val="21"/>
          <w:szCs w:val="21"/>
          <w:shd w:val="clear" w:color="auto" w:fill="FFFFFF"/>
        </w:rPr>
        <w:t xml:space="preserve">2011. évi CXCV. törvény 50. § (1) a) pontja </w:t>
      </w:r>
      <w:r w:rsidRPr="00B81D20">
        <w:rPr>
          <w:rFonts w:ascii="Times New Roman" w:hAnsi="Times New Roman"/>
          <w:b/>
          <w:bCs/>
          <w:i/>
          <w:sz w:val="21"/>
          <w:szCs w:val="21"/>
          <w:shd w:val="clear" w:color="auto" w:fill="FFFFFF"/>
        </w:rPr>
        <w:t xml:space="preserve">és a foglalkoztatás-felügyeleti hatóság tevékenységéről szóló 115/2021. (III. 10.) Korm. rendelet 20. § (1)-(2) </w:t>
      </w:r>
      <w:r w:rsidRPr="00E34A3C">
        <w:rPr>
          <w:rFonts w:ascii="Times New Roman" w:hAnsi="Times New Roman"/>
          <w:b/>
          <w:bCs/>
          <w:i/>
          <w:sz w:val="21"/>
          <w:szCs w:val="21"/>
          <w:shd w:val="clear" w:color="auto" w:fill="FFFFFF"/>
        </w:rPr>
        <w:t>bekezdése szerint</w:t>
      </w:r>
      <w:r w:rsidRPr="00E34A3C">
        <w:rPr>
          <w:rStyle w:val="Lbjegyzet-hivatkozs"/>
          <w:rFonts w:ascii="Times New Roman" w:hAnsi="Times New Roman"/>
          <w:b/>
          <w:bCs/>
          <w:i/>
          <w:sz w:val="21"/>
          <w:szCs w:val="21"/>
          <w:shd w:val="clear" w:color="auto" w:fill="FFFFFF"/>
        </w:rPr>
        <w:footnoteReference w:id="1"/>
      </w:r>
    </w:p>
    <w:p w14:paraId="20F268B4" w14:textId="77777777" w:rsidR="00C2765A" w:rsidRPr="00344EEC" w:rsidRDefault="00C2765A" w:rsidP="00C2765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1"/>
          <w:szCs w:val="21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5"/>
        <w:gridCol w:w="6465"/>
      </w:tblGrid>
      <w:tr w:rsidR="00C2765A" w:rsidRPr="00E7454B" w14:paraId="17885A60" w14:textId="77777777" w:rsidTr="003240E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1C2" w14:textId="77777777" w:rsidR="00C2765A" w:rsidRPr="00941CEB" w:rsidRDefault="00C2765A" w:rsidP="0032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941CEB">
              <w:rPr>
                <w:rFonts w:ascii="Times New Roman" w:hAnsi="Times New Roman"/>
                <w:sz w:val="21"/>
                <w:szCs w:val="21"/>
              </w:rPr>
              <w:t>Alulírott (név):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413" w14:textId="77777777" w:rsidR="00C2765A" w:rsidRPr="003C6251" w:rsidRDefault="00C2765A" w:rsidP="0032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2765A" w:rsidRPr="00E7454B" w14:paraId="59CF226F" w14:textId="77777777" w:rsidTr="003240E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6CF" w14:textId="77777777" w:rsidR="00C2765A" w:rsidRPr="00E7454B" w:rsidRDefault="00C2765A" w:rsidP="0032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7454B">
              <w:rPr>
                <w:rFonts w:ascii="Times New Roman" w:hAnsi="Times New Roman"/>
                <w:sz w:val="21"/>
                <w:szCs w:val="21"/>
              </w:rPr>
              <w:t xml:space="preserve"> mint a (szervezet neve):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BD68" w14:textId="77777777" w:rsidR="00C2765A" w:rsidRPr="00E7454B" w:rsidRDefault="00C2765A" w:rsidP="0032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C2765A" w:rsidRPr="00E7454B" w14:paraId="518EF944" w14:textId="77777777" w:rsidTr="003240E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EC7D" w14:textId="77777777" w:rsidR="00C2765A" w:rsidRPr="00E7454B" w:rsidRDefault="00C2765A" w:rsidP="0032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7454B">
              <w:rPr>
                <w:rFonts w:ascii="Times New Roman" w:hAnsi="Times New Roman"/>
                <w:sz w:val="21"/>
                <w:szCs w:val="21"/>
              </w:rPr>
              <w:t xml:space="preserve"> székhelye: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464" w14:textId="77777777" w:rsidR="00C2765A" w:rsidRPr="00E7454B" w:rsidRDefault="00C2765A" w:rsidP="0032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2765A" w:rsidRPr="00E7454B" w14:paraId="2F46F415" w14:textId="77777777" w:rsidTr="003240E4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96D8" w14:textId="77777777" w:rsidR="00C2765A" w:rsidRPr="00E7454B" w:rsidRDefault="00C2765A" w:rsidP="0032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7454B">
              <w:rPr>
                <w:rFonts w:ascii="Times New Roman" w:hAnsi="Times New Roman"/>
                <w:sz w:val="21"/>
                <w:szCs w:val="21"/>
              </w:rPr>
              <w:t xml:space="preserve"> adószáma: </w:t>
            </w:r>
          </w:p>
        </w:tc>
        <w:tc>
          <w:tcPr>
            <w:tcW w:w="3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0F3" w14:textId="77777777" w:rsidR="00C2765A" w:rsidRPr="00E7454B" w:rsidRDefault="00C2765A" w:rsidP="00324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00EA03F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7454B">
        <w:rPr>
          <w:rFonts w:ascii="Times New Roman" w:hAnsi="Times New Roman"/>
          <w:sz w:val="21"/>
          <w:szCs w:val="21"/>
        </w:rPr>
        <w:t>képviselője, büntetőjogi felelősségem tudatában</w:t>
      </w:r>
    </w:p>
    <w:p w14:paraId="5C2669D3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8B6B4CB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E7454B">
        <w:rPr>
          <w:rFonts w:ascii="Times New Roman" w:hAnsi="Times New Roman"/>
          <w:b/>
          <w:sz w:val="21"/>
          <w:szCs w:val="21"/>
        </w:rPr>
        <w:t>n y i l a t k o z o m</w:t>
      </w:r>
      <w:r w:rsidRPr="00E7454B">
        <w:rPr>
          <w:rFonts w:ascii="Times New Roman" w:hAnsi="Times New Roman"/>
          <w:sz w:val="21"/>
          <w:szCs w:val="21"/>
        </w:rPr>
        <w:t>,</w:t>
      </w:r>
    </w:p>
    <w:p w14:paraId="2442B43A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E08DECD" w14:textId="77777777" w:rsidR="00C2765A" w:rsidRPr="00BB2E97" w:rsidRDefault="00C2765A" w:rsidP="00C2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E7454B">
        <w:rPr>
          <w:rFonts w:ascii="Times New Roman" w:hAnsi="Times New Roman"/>
          <w:sz w:val="21"/>
          <w:szCs w:val="21"/>
        </w:rPr>
        <w:t xml:space="preserve">hogy az általam képviselt szervezettel </w:t>
      </w:r>
      <w:proofErr w:type="gramStart"/>
      <w:r w:rsidRPr="00E7454B">
        <w:rPr>
          <w:rFonts w:ascii="Times New Roman" w:hAnsi="Times New Roman"/>
          <w:sz w:val="21"/>
          <w:szCs w:val="21"/>
        </w:rPr>
        <w:t xml:space="preserve">szemben  </w:t>
      </w:r>
      <w:r w:rsidRPr="00E7454B">
        <w:rPr>
          <w:rFonts w:ascii="Times New Roman" w:hAnsi="Times New Roman"/>
          <w:b/>
          <w:sz w:val="21"/>
          <w:szCs w:val="21"/>
        </w:rPr>
        <w:t>nem</w:t>
      </w:r>
      <w:proofErr w:type="gramEnd"/>
      <w:r w:rsidRPr="00E7454B">
        <w:rPr>
          <w:rFonts w:ascii="Times New Roman" w:hAnsi="Times New Roman"/>
          <w:b/>
          <w:sz w:val="21"/>
          <w:szCs w:val="21"/>
        </w:rPr>
        <w:t xml:space="preserve"> állnak fenn</w:t>
      </w:r>
      <w:r w:rsidRPr="00E7454B">
        <w:rPr>
          <w:rFonts w:ascii="Times New Roman" w:hAnsi="Times New Roman"/>
          <w:sz w:val="21"/>
          <w:szCs w:val="21"/>
        </w:rPr>
        <w:t xml:space="preserve"> az alábbiak</w:t>
      </w:r>
      <w:r w:rsidRPr="00BB2E97">
        <w:rPr>
          <w:rStyle w:val="Lbjegyzet-hivatkozs"/>
          <w:rFonts w:ascii="Times New Roman" w:hAnsi="Times New Roman"/>
          <w:sz w:val="21"/>
          <w:szCs w:val="21"/>
        </w:rPr>
        <w:footnoteReference w:id="2"/>
      </w:r>
      <w:r w:rsidRPr="00BB2E97">
        <w:rPr>
          <w:rFonts w:ascii="Times New Roman" w:hAnsi="Times New Roman"/>
          <w:sz w:val="21"/>
          <w:szCs w:val="21"/>
        </w:rPr>
        <w:t>:</w:t>
      </w:r>
    </w:p>
    <w:p w14:paraId="25582E20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344EEC">
        <w:rPr>
          <w:rFonts w:ascii="Times New Roman" w:hAnsi="Times New Roman"/>
          <w:i/>
          <w:iCs/>
          <w:sz w:val="21"/>
          <w:szCs w:val="21"/>
        </w:rPr>
        <w:t xml:space="preserve">a) </w:t>
      </w:r>
      <w:r w:rsidRPr="00344EEC">
        <w:rPr>
          <w:rFonts w:ascii="Times New Roman" w:hAnsi="Times New Roman"/>
          <w:sz w:val="21"/>
          <w:szCs w:val="21"/>
        </w:rPr>
        <w:t>az adózás rendjéről szóló 20</w:t>
      </w:r>
      <w:r w:rsidRPr="00941CEB">
        <w:rPr>
          <w:rFonts w:ascii="Times New Roman" w:hAnsi="Times New Roman"/>
          <w:sz w:val="21"/>
          <w:szCs w:val="21"/>
        </w:rPr>
        <w:t>17</w:t>
      </w:r>
      <w:r w:rsidRPr="003C6251">
        <w:rPr>
          <w:rFonts w:ascii="Times New Roman" w:hAnsi="Times New Roman"/>
          <w:sz w:val="21"/>
          <w:szCs w:val="21"/>
        </w:rPr>
        <w:t>. évi C</w:t>
      </w:r>
      <w:r w:rsidRPr="003F4B9F">
        <w:rPr>
          <w:rFonts w:ascii="Times New Roman" w:hAnsi="Times New Roman"/>
          <w:sz w:val="21"/>
          <w:szCs w:val="21"/>
        </w:rPr>
        <w:t>L. törvény (a továbbiakban: Art.) 16. § (1</w:t>
      </w:r>
      <w:r w:rsidRPr="000C7B62">
        <w:rPr>
          <w:rFonts w:ascii="Times New Roman" w:hAnsi="Times New Roman"/>
          <w:sz w:val="21"/>
          <w:szCs w:val="21"/>
        </w:rPr>
        <w:t>) bekezdésében és 1. me</w:t>
      </w:r>
      <w:r w:rsidRPr="000F4056">
        <w:rPr>
          <w:rFonts w:ascii="Times New Roman" w:hAnsi="Times New Roman"/>
          <w:sz w:val="21"/>
          <w:szCs w:val="21"/>
        </w:rPr>
        <w:t>lléklet 3. pontjában</w:t>
      </w:r>
      <w:r w:rsidRPr="00E7454B">
        <w:rPr>
          <w:rFonts w:ascii="Times New Roman" w:hAnsi="Times New Roman"/>
          <w:sz w:val="21"/>
          <w:szCs w:val="21"/>
        </w:rPr>
        <w:t xml:space="preserve"> vagy 16. § (1) bekezdésében és 1. melléklet 4. pontjában, illetve az egyszerűsített foglalkoztatásról szóló 2010. évi LXXV. törvény 11. §-ában foglalt, a foglalkoztatásra irányuló jogviszony létesítésével összefüggő bejelentési kötelezettség elmulasztása,</w:t>
      </w:r>
    </w:p>
    <w:p w14:paraId="42EE3853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7454B">
        <w:rPr>
          <w:rFonts w:ascii="Times New Roman" w:hAnsi="Times New Roman"/>
          <w:i/>
          <w:iCs/>
          <w:sz w:val="21"/>
          <w:szCs w:val="21"/>
        </w:rPr>
        <w:t>b)</w:t>
      </w:r>
      <w:r w:rsidRPr="00E7454B">
        <w:rPr>
          <w:rFonts w:ascii="Times New Roman" w:hAnsi="Times New Roman"/>
          <w:sz w:val="21"/>
          <w:szCs w:val="21"/>
        </w:rPr>
        <w:t xml:space="preserve"> a munka törvénykönyvéről szóló 2012. évi I. törvény</w:t>
      </w:r>
      <w:r w:rsidRPr="00E7454B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E7454B">
        <w:rPr>
          <w:rFonts w:ascii="Times New Roman" w:hAnsi="Times New Roman"/>
          <w:sz w:val="21"/>
          <w:szCs w:val="21"/>
        </w:rPr>
        <w:t>(a továbbiakban: Mt.) 34. §-ában meghatározott, a munkavállalói jogalanyisággal kapcsolatos életkori feltételekre (ideértve a gyermekmunka tilalmát is) vonatkozó rendelkezések megsértése,</w:t>
      </w:r>
    </w:p>
    <w:p w14:paraId="47F3928E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7454B">
        <w:rPr>
          <w:rFonts w:ascii="Times New Roman" w:hAnsi="Times New Roman"/>
          <w:i/>
          <w:iCs/>
          <w:sz w:val="21"/>
          <w:szCs w:val="21"/>
        </w:rPr>
        <w:t xml:space="preserve">c) </w:t>
      </w:r>
      <w:r w:rsidRPr="00E7454B">
        <w:rPr>
          <w:rFonts w:ascii="Times New Roman" w:hAnsi="Times New Roman"/>
          <w:sz w:val="21"/>
          <w:szCs w:val="21"/>
        </w:rPr>
        <w:t>jogszabályban, kollektív szerződésben vagy a miniszter által az ágazatra, alágazatra kiterjesztett kollektív szerződésben megállapított munkabér mértékére és a kifizetés határidejére vonatkozó rendelkezések megsértése,</w:t>
      </w:r>
    </w:p>
    <w:p w14:paraId="664A3996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7454B">
        <w:rPr>
          <w:rFonts w:ascii="Times New Roman" w:hAnsi="Times New Roman"/>
          <w:i/>
          <w:iCs/>
          <w:sz w:val="21"/>
          <w:szCs w:val="21"/>
        </w:rPr>
        <w:t xml:space="preserve">d) </w:t>
      </w:r>
      <w:r w:rsidRPr="00E7454B">
        <w:rPr>
          <w:rFonts w:ascii="Times New Roman" w:hAnsi="Times New Roman"/>
          <w:sz w:val="21"/>
          <w:szCs w:val="21"/>
        </w:rPr>
        <w:t>a munkaerő-kölcsönzésre vonatkozó, az Mt. 215. § (1) bekezdésének a nyilvántartásba vétellel kapcsolatos szabályainak megsértése, valamint</w:t>
      </w:r>
    </w:p>
    <w:p w14:paraId="48900DD4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7454B">
        <w:rPr>
          <w:rFonts w:ascii="Times New Roman" w:hAnsi="Times New Roman"/>
          <w:i/>
          <w:iCs/>
          <w:sz w:val="21"/>
          <w:szCs w:val="21"/>
        </w:rPr>
        <w:t xml:space="preserve">e) </w:t>
      </w:r>
      <w:r w:rsidRPr="00E7454B">
        <w:rPr>
          <w:rFonts w:ascii="Times New Roman" w:hAnsi="Times New Roman"/>
          <w:sz w:val="21"/>
          <w:szCs w:val="21"/>
        </w:rPr>
        <w:t>az egyenlő bánásmódról és az esélyegyenlőség előmozdításáról szóló 2003. évi CXXV. törvény (a továbbiakban: Ebktv.) alapján az egyenlő bá</w:t>
      </w:r>
      <w:r>
        <w:rPr>
          <w:rFonts w:ascii="Times New Roman" w:hAnsi="Times New Roman"/>
          <w:sz w:val="21"/>
          <w:szCs w:val="21"/>
        </w:rPr>
        <w:t xml:space="preserve">násmód </w:t>
      </w:r>
      <w:r w:rsidRPr="00E7454B">
        <w:rPr>
          <w:rFonts w:ascii="Times New Roman" w:hAnsi="Times New Roman"/>
          <w:sz w:val="21"/>
          <w:szCs w:val="21"/>
        </w:rPr>
        <w:t>követelményének megsértése miatt hatóság, illetve bíróság a költségvetési támogatás igénylésének időpontját megelőző két éven belül – a korábbival azonos jogsértés elkövetése miatt - jogerős és végrehajtható bírsággal sújtott vagy a központi költségvetésbe történő befizetésre kötelezett,</w:t>
      </w:r>
    </w:p>
    <w:p w14:paraId="596F4BCA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E7454B">
        <w:rPr>
          <w:rFonts w:ascii="Times New Roman" w:hAnsi="Times New Roman"/>
          <w:i/>
          <w:sz w:val="21"/>
          <w:szCs w:val="21"/>
          <w:shd w:val="clear" w:color="auto" w:fill="FFFFFF"/>
        </w:rPr>
        <w:t>f)</w:t>
      </w:r>
      <w:r w:rsidRPr="00E7454B">
        <w:rPr>
          <w:rFonts w:ascii="Times New Roman" w:hAnsi="Times New Roman"/>
          <w:sz w:val="21"/>
          <w:szCs w:val="21"/>
          <w:shd w:val="clear" w:color="auto" w:fill="FFFFFF"/>
        </w:rPr>
        <w:t xml:space="preserve"> a harmadik országbeli állampolgár</w:t>
      </w:r>
    </w:p>
    <w:p w14:paraId="1DBB730E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E7454B">
        <w:rPr>
          <w:rFonts w:ascii="Times New Roman" w:hAnsi="Times New Roman"/>
          <w:i/>
          <w:sz w:val="21"/>
          <w:szCs w:val="21"/>
          <w:shd w:val="clear" w:color="auto" w:fill="FFFFFF"/>
        </w:rPr>
        <w:t>fa)</w:t>
      </w:r>
      <w:r w:rsidRPr="00E7454B">
        <w:rPr>
          <w:rFonts w:ascii="Times New Roman" w:hAnsi="Times New Roman"/>
          <w:sz w:val="21"/>
          <w:szCs w:val="21"/>
          <w:shd w:val="clear" w:color="auto" w:fill="FFFFFF"/>
        </w:rPr>
        <w:t xml:space="preserve"> munkavállalási engedély, vagy</w:t>
      </w:r>
    </w:p>
    <w:p w14:paraId="3B399E6D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7454B">
        <w:rPr>
          <w:rFonts w:ascii="Times New Roman" w:hAnsi="Times New Roman"/>
          <w:i/>
          <w:sz w:val="21"/>
          <w:szCs w:val="21"/>
          <w:shd w:val="clear" w:color="auto" w:fill="FFFFFF"/>
        </w:rPr>
        <w:t>fb)</w:t>
      </w:r>
      <w:r w:rsidRPr="00E7454B">
        <w:rPr>
          <w:rFonts w:ascii="Times New Roman" w:hAnsi="Times New Roman"/>
          <w:sz w:val="21"/>
          <w:szCs w:val="21"/>
          <w:shd w:val="clear" w:color="auto" w:fill="FFFFFF"/>
        </w:rPr>
        <w:t xml:space="preserve"> a </w:t>
      </w:r>
      <w:r w:rsidRPr="0082126B">
        <w:rPr>
          <w:rFonts w:ascii="Times New Roman" w:hAnsi="Times New Roman"/>
          <w:sz w:val="21"/>
          <w:szCs w:val="21"/>
          <w:shd w:val="clear" w:color="auto" w:fill="FFFFFF"/>
        </w:rPr>
        <w:t>harmadik országbeli állampolgárok beutazására és tartózkodására vonatkozó általános szabályokról</w:t>
      </w:r>
      <w:r w:rsidRPr="0082126B" w:rsidDel="00EF2EEA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1"/>
          <w:szCs w:val="21"/>
          <w:shd w:val="clear" w:color="auto" w:fill="FFFFFF"/>
        </w:rPr>
        <w:t xml:space="preserve">szóló </w:t>
      </w:r>
      <w:r w:rsidRPr="0082126B">
        <w:rPr>
          <w:rFonts w:ascii="Times New Roman" w:hAnsi="Times New Roman"/>
          <w:sz w:val="21"/>
          <w:szCs w:val="21"/>
          <w:shd w:val="clear" w:color="auto" w:fill="FFFFFF"/>
        </w:rPr>
        <w:t>2023. évi XC. törvény</w:t>
      </w:r>
      <w:r w:rsidRPr="0082126B" w:rsidDel="00EF2EEA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Pr="00E7454B">
        <w:rPr>
          <w:rFonts w:ascii="Times New Roman" w:hAnsi="Times New Roman"/>
          <w:sz w:val="21"/>
          <w:szCs w:val="21"/>
          <w:shd w:val="clear" w:color="auto" w:fill="FFFFFF"/>
        </w:rPr>
        <w:t>szerinti összevont engedélyezési eljárás keretében kiadott összevont engedély nélkül történő foglalkoztatása miatt hatóság, illetve bíróság a költségvetési támogatás igénylésének időpontját megelőző két éven belül jogerős vagy végleges bírsággal sújtott vagy a központi költségvetésbe történő befizetésre kötelezett.</w:t>
      </w:r>
    </w:p>
    <w:p w14:paraId="2C7F9A3C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364CB315" w14:textId="4CC80B0F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Kelt: ………………</w:t>
      </w:r>
      <w:r>
        <w:rPr>
          <w:rFonts w:ascii="Times New Roman" w:hAnsi="Times New Roman"/>
          <w:bCs/>
          <w:iCs/>
          <w:sz w:val="21"/>
          <w:szCs w:val="21"/>
        </w:rPr>
        <w:t xml:space="preserve">, </w:t>
      </w:r>
      <w:proofErr w:type="gramStart"/>
      <w:r>
        <w:rPr>
          <w:rFonts w:ascii="Times New Roman" w:hAnsi="Times New Roman"/>
          <w:bCs/>
          <w:iCs/>
          <w:sz w:val="21"/>
          <w:szCs w:val="21"/>
        </w:rPr>
        <w:t>202</w:t>
      </w:r>
      <w:r w:rsidR="00926D43">
        <w:rPr>
          <w:rFonts w:ascii="Times New Roman" w:hAnsi="Times New Roman"/>
          <w:bCs/>
          <w:iCs/>
          <w:sz w:val="21"/>
          <w:szCs w:val="21"/>
        </w:rPr>
        <w:t>6</w:t>
      </w:r>
      <w:r>
        <w:rPr>
          <w:rFonts w:ascii="Times New Roman" w:hAnsi="Times New Roman"/>
          <w:bCs/>
          <w:iCs/>
          <w:sz w:val="21"/>
          <w:szCs w:val="21"/>
        </w:rPr>
        <w:t>. ”</w:t>
      </w:r>
      <w:proofErr w:type="gramEnd"/>
      <w:r>
        <w:rPr>
          <w:rFonts w:ascii="Times New Roman" w:hAnsi="Times New Roman"/>
          <w:bCs/>
          <w:iCs/>
          <w:sz w:val="21"/>
          <w:szCs w:val="21"/>
        </w:rPr>
        <w:t xml:space="preserve">                         </w:t>
      </w:r>
      <w:proofErr w:type="gramStart"/>
      <w:r>
        <w:rPr>
          <w:rFonts w:ascii="Times New Roman" w:hAnsi="Times New Roman"/>
          <w:bCs/>
          <w:iCs/>
          <w:sz w:val="21"/>
          <w:szCs w:val="21"/>
        </w:rPr>
        <w:t xml:space="preserve">  .</w:t>
      </w:r>
      <w:proofErr w:type="gramEnd"/>
      <w:r>
        <w:rPr>
          <w:rFonts w:ascii="Times New Roman" w:hAnsi="Times New Roman"/>
          <w:bCs/>
          <w:iCs/>
          <w:sz w:val="21"/>
          <w:szCs w:val="21"/>
        </w:rPr>
        <w:t>”</w:t>
      </w:r>
    </w:p>
    <w:p w14:paraId="377F0AD1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FCEB3C4" w14:textId="77777777" w:rsidR="00C2765A" w:rsidRPr="00E7454B" w:rsidRDefault="00C2765A" w:rsidP="00C27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E7454B">
        <w:rPr>
          <w:rFonts w:ascii="Times New Roman" w:hAnsi="Times New Roman"/>
          <w:sz w:val="21"/>
          <w:szCs w:val="21"/>
        </w:rPr>
        <w:tab/>
      </w:r>
      <w:r w:rsidRPr="00E7454B">
        <w:rPr>
          <w:rFonts w:ascii="Times New Roman" w:hAnsi="Times New Roman"/>
          <w:sz w:val="21"/>
          <w:szCs w:val="21"/>
        </w:rPr>
        <w:tab/>
      </w:r>
      <w:r w:rsidRPr="00E7454B">
        <w:rPr>
          <w:rFonts w:ascii="Times New Roman" w:hAnsi="Times New Roman"/>
          <w:sz w:val="21"/>
          <w:szCs w:val="21"/>
        </w:rPr>
        <w:tab/>
      </w:r>
      <w:r w:rsidRPr="00E7454B">
        <w:rPr>
          <w:rFonts w:ascii="Times New Roman" w:hAnsi="Times New Roman"/>
          <w:sz w:val="21"/>
          <w:szCs w:val="21"/>
        </w:rPr>
        <w:tab/>
      </w:r>
      <w:r w:rsidRPr="00E7454B">
        <w:rPr>
          <w:rFonts w:ascii="Times New Roman" w:hAnsi="Times New Roman"/>
          <w:sz w:val="21"/>
          <w:szCs w:val="21"/>
        </w:rPr>
        <w:tab/>
      </w:r>
      <w:r w:rsidRPr="00E7454B">
        <w:rPr>
          <w:rFonts w:ascii="Times New Roman" w:hAnsi="Times New Roman"/>
          <w:sz w:val="21"/>
          <w:szCs w:val="21"/>
        </w:rPr>
        <w:tab/>
      </w:r>
      <w:r w:rsidRPr="00E7454B">
        <w:rPr>
          <w:rFonts w:ascii="Times New Roman" w:hAnsi="Times New Roman"/>
          <w:sz w:val="21"/>
          <w:szCs w:val="21"/>
        </w:rPr>
        <w:tab/>
      </w:r>
      <w:r w:rsidRPr="00E7454B">
        <w:rPr>
          <w:rFonts w:ascii="Times New Roman" w:hAnsi="Times New Roman"/>
          <w:sz w:val="21"/>
          <w:szCs w:val="21"/>
        </w:rPr>
        <w:tab/>
      </w:r>
      <w:r w:rsidRPr="00E7454B">
        <w:rPr>
          <w:rFonts w:ascii="Times New Roman" w:hAnsi="Times New Roman"/>
          <w:sz w:val="21"/>
          <w:szCs w:val="21"/>
        </w:rPr>
        <w:tab/>
        <w:t>…………………………….</w:t>
      </w:r>
    </w:p>
    <w:p w14:paraId="57D336C0" w14:textId="77777777" w:rsidR="00C2765A" w:rsidRPr="00E7454B" w:rsidRDefault="00C2765A" w:rsidP="00C2765A">
      <w:pPr>
        <w:spacing w:after="0" w:line="240" w:lineRule="auto"/>
        <w:ind w:left="4956" w:firstLine="708"/>
        <w:jc w:val="center"/>
        <w:rPr>
          <w:rFonts w:ascii="Times New Roman" w:hAnsi="Times New Roman"/>
          <w:sz w:val="21"/>
          <w:szCs w:val="21"/>
        </w:rPr>
      </w:pPr>
      <w:r w:rsidRPr="00E7454B">
        <w:rPr>
          <w:rFonts w:ascii="Times New Roman" w:hAnsi="Times New Roman"/>
          <w:sz w:val="21"/>
          <w:szCs w:val="21"/>
        </w:rPr>
        <w:t>Aláírás/Cégszerű aláírás</w:t>
      </w:r>
    </w:p>
    <w:p w14:paraId="4DE4C2FC" w14:textId="0D6E1979" w:rsidR="00F9529B" w:rsidRDefault="00F9529B" w:rsidP="00C2765A"/>
    <w:sectPr w:rsidR="00F95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6896" w14:textId="77777777" w:rsidR="00333FA9" w:rsidRDefault="00333FA9" w:rsidP="00C2765A">
      <w:pPr>
        <w:spacing w:after="0" w:line="240" w:lineRule="auto"/>
      </w:pPr>
      <w:r>
        <w:separator/>
      </w:r>
    </w:p>
  </w:endnote>
  <w:endnote w:type="continuationSeparator" w:id="0">
    <w:p w14:paraId="71A168B3" w14:textId="77777777" w:rsidR="00333FA9" w:rsidRDefault="00333FA9" w:rsidP="00C2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ED1B4" w14:textId="77777777" w:rsidR="00333FA9" w:rsidRDefault="00333FA9" w:rsidP="00C2765A">
      <w:pPr>
        <w:spacing w:after="0" w:line="240" w:lineRule="auto"/>
      </w:pPr>
      <w:r>
        <w:separator/>
      </w:r>
    </w:p>
  </w:footnote>
  <w:footnote w:type="continuationSeparator" w:id="0">
    <w:p w14:paraId="47078959" w14:textId="77777777" w:rsidR="00333FA9" w:rsidRDefault="00333FA9" w:rsidP="00C2765A">
      <w:pPr>
        <w:spacing w:after="0" w:line="240" w:lineRule="auto"/>
      </w:pPr>
      <w:r>
        <w:continuationSeparator/>
      </w:r>
    </w:p>
  </w:footnote>
  <w:footnote w:id="1">
    <w:p w14:paraId="5613AA11" w14:textId="77777777" w:rsidR="00C2765A" w:rsidRPr="00217DE9" w:rsidRDefault="00C2765A" w:rsidP="00C2765A">
      <w:pPr>
        <w:pStyle w:val="Lbjegyzetszveg"/>
        <w:jc w:val="both"/>
        <w:rPr>
          <w:rStyle w:val="Lbjegyzet-hivatkozs"/>
        </w:rPr>
      </w:pPr>
      <w:r w:rsidRPr="00217DE9">
        <w:rPr>
          <w:rStyle w:val="Lbjegyzet-hivatkozs"/>
        </w:rPr>
        <w:footnoteRef/>
      </w:r>
      <w:r w:rsidRPr="00217DE9">
        <w:rPr>
          <w:rStyle w:val="Lbjegyzet-hivatkozs"/>
        </w:rPr>
        <w:t xml:space="preserve"> Külföldi kérelmező esetén a magyarországi munkaügyi kapcsolatok tekintetében alkalmazandó! Magyarországi foglalkoztatás hiányában a nyilatkozatot nem kell kitölteni.</w:t>
      </w:r>
    </w:p>
  </w:footnote>
  <w:footnote w:id="2">
    <w:p w14:paraId="4B703AAC" w14:textId="77777777" w:rsidR="00C2765A" w:rsidRPr="00BF1137" w:rsidRDefault="00C2765A" w:rsidP="00C2765A">
      <w:pPr>
        <w:pStyle w:val="Lbjegyzetszveg"/>
        <w:jc w:val="both"/>
        <w:rPr>
          <w:sz w:val="14"/>
          <w:szCs w:val="14"/>
        </w:rPr>
      </w:pPr>
      <w:r w:rsidRPr="00217DE9">
        <w:rPr>
          <w:rStyle w:val="Lbjegyzet-hivatkozs"/>
        </w:rPr>
        <w:footnoteRef/>
      </w:r>
      <w:r w:rsidRPr="00BF1137">
        <w:rPr>
          <w:sz w:val="14"/>
          <w:szCs w:val="14"/>
        </w:rPr>
        <w:t xml:space="preserve"> Az </w:t>
      </w:r>
      <w:proofErr w:type="gramStart"/>
      <w:r w:rsidRPr="00BF1137">
        <w:rPr>
          <w:sz w:val="14"/>
          <w:szCs w:val="14"/>
        </w:rPr>
        <w:t>a)-</w:t>
      </w:r>
      <w:proofErr w:type="gramEnd"/>
      <w:r w:rsidRPr="00BF1137">
        <w:rPr>
          <w:sz w:val="14"/>
          <w:szCs w:val="14"/>
        </w:rPr>
        <w:t>e) pontok</w:t>
      </w:r>
      <w:r>
        <w:rPr>
          <w:sz w:val="14"/>
          <w:szCs w:val="14"/>
        </w:rPr>
        <w:t xml:space="preserve"> alkalmazásában </w:t>
      </w:r>
      <w:r w:rsidRPr="00BF1137">
        <w:rPr>
          <w:sz w:val="14"/>
          <w:szCs w:val="14"/>
        </w:rPr>
        <w:t>több telephellyel rendelkező munkáltató esetében</w:t>
      </w:r>
      <w:r>
        <w:rPr>
          <w:sz w:val="14"/>
          <w:szCs w:val="14"/>
        </w:rPr>
        <w:t xml:space="preserve"> a jogsértést megállapító közigazgatási határozat véglegessé válásától és végrehajthatóvá válásától számított két éven belül elkövetett ismételt jogsértésen </w:t>
      </w:r>
      <w:r w:rsidRPr="00BF1137">
        <w:rPr>
          <w:sz w:val="14"/>
          <w:szCs w:val="14"/>
        </w:rPr>
        <w:t xml:space="preserve">az ugyanazon telephelyen </w:t>
      </w:r>
      <w:r>
        <w:rPr>
          <w:sz w:val="14"/>
          <w:szCs w:val="14"/>
        </w:rPr>
        <w:t xml:space="preserve">kétéves időszakon belül </w:t>
      </w:r>
      <w:r w:rsidRPr="00BF1137">
        <w:rPr>
          <w:sz w:val="14"/>
          <w:szCs w:val="14"/>
        </w:rPr>
        <w:t xml:space="preserve">jogerős </w:t>
      </w:r>
      <w:r>
        <w:rPr>
          <w:sz w:val="14"/>
          <w:szCs w:val="14"/>
        </w:rPr>
        <w:t>vagy végleges</w:t>
      </w:r>
      <w:r w:rsidRPr="00BF1137">
        <w:rPr>
          <w:sz w:val="14"/>
          <w:szCs w:val="14"/>
        </w:rPr>
        <w:t xml:space="preserve"> határozattal megállapított </w:t>
      </w:r>
      <w:r>
        <w:rPr>
          <w:sz w:val="14"/>
          <w:szCs w:val="14"/>
        </w:rPr>
        <w:t xml:space="preserve">azonos </w:t>
      </w:r>
      <w:r w:rsidRPr="00BF1137">
        <w:rPr>
          <w:sz w:val="14"/>
          <w:szCs w:val="14"/>
        </w:rPr>
        <w:t>jogsértést kell érteni.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5A"/>
    <w:rsid w:val="000B0540"/>
    <w:rsid w:val="00100742"/>
    <w:rsid w:val="00292426"/>
    <w:rsid w:val="00333FA9"/>
    <w:rsid w:val="00491A46"/>
    <w:rsid w:val="008D1AC9"/>
    <w:rsid w:val="00926D43"/>
    <w:rsid w:val="00BF1054"/>
    <w:rsid w:val="00C2765A"/>
    <w:rsid w:val="00E35A9D"/>
    <w:rsid w:val="00F9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7786"/>
  <w15:chartTrackingRefBased/>
  <w15:docId w15:val="{BF283DB7-00EF-4EB0-86B4-80C74F00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765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276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76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76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76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76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765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765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765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765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7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7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7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765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765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76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76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76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76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7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27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76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27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76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276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76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2765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7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765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765A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aliases w:val="Footnote"/>
    <w:basedOn w:val="Norml"/>
    <w:link w:val="LbjegyzetszvegChar"/>
    <w:semiHidden/>
    <w:rsid w:val="00C276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Footnote Char"/>
    <w:basedOn w:val="Bekezdsalapbettpusa"/>
    <w:link w:val="Lbjegyzetszveg"/>
    <w:semiHidden/>
    <w:rsid w:val="00C2765A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C2765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Országos Szlovén Önkormányzat Hivatala</dc:creator>
  <cp:keywords/>
  <dc:description/>
  <cp:lastModifiedBy>Országos Szlovén Önkormányzat Hivatala</cp:lastModifiedBy>
  <cp:revision>2</cp:revision>
  <dcterms:created xsi:type="dcterms:W3CDTF">2026-04-24T10:50:00Z</dcterms:created>
  <dcterms:modified xsi:type="dcterms:W3CDTF">2026-05-04T08:04:00Z</dcterms:modified>
</cp:coreProperties>
</file>